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学习心得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pacing w:val="20"/>
          <w:w w:val="9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20"/>
          <w:w w:val="9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pacing w:val="20"/>
          <w:w w:val="9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20"/>
          <w:w w:val="90"/>
          <w:sz w:val="28"/>
          <w:szCs w:val="28"/>
          <w:lang w:val="en-US" w:eastAsia="zh-CN"/>
        </w:rPr>
        <w:t>昨天，在公司的组织下，我们去了成都新乐中街店进行了6个小时的学习体验。经过这6个小时的认真观察学习，我也有了不少体会。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pacing w:val="20"/>
          <w:w w:val="9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20"/>
          <w:w w:val="90"/>
          <w:sz w:val="28"/>
          <w:szCs w:val="28"/>
          <w:lang w:val="en-US" w:eastAsia="zh-CN"/>
        </w:rPr>
        <w:t xml:space="preserve">   首先我观察到了，新乐中街人流相对集中，周边小区在两个及以上，铺面周边也只有一家对手药房，竞争压力相对较小。其次，活动期间，门店人员充足，活动准备充分，宣传力度强。最后，经过6个小时的学习，发现他们善于抓住折扣亮点，销售技巧得当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pacing w:val="20"/>
          <w:w w:val="9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20"/>
          <w:w w:val="90"/>
          <w:sz w:val="28"/>
          <w:szCs w:val="28"/>
          <w:lang w:val="en-US" w:eastAsia="zh-CN"/>
        </w:rPr>
        <w:t xml:space="preserve">   由于都江堰药房周边药房竞争压力较大，周边环境相对恶劣，不能大力宣传，因此我们尽力做好有效会员的维护沟通，提高有效会员消费占比。熟记金牌和单品等活动内容做好店内宣传。其次，做好有效对症关联用药，在消费者接受的情况下，关联对症营养品等。最后，可根据门店消费者消费情况，适当定期调整库存。销售的王道就是数据，希望通过努力我们门店的以上模糊概念，会变成很好的实际数据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pacing w:val="20"/>
          <w:w w:val="9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pacing w:val="20"/>
          <w:w w:val="9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pacing w:val="20"/>
          <w:w w:val="9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pacing w:val="20"/>
          <w:w w:val="9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pacing w:val="20"/>
          <w:w w:val="9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20"/>
          <w:w w:val="90"/>
          <w:sz w:val="28"/>
          <w:szCs w:val="28"/>
          <w:lang w:val="en-US" w:eastAsia="zh-CN"/>
        </w:rPr>
        <w:t xml:space="preserve">                                景中店：张星灵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35D83"/>
    <w:rsid w:val="64C35D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2016-02-01T07:38:00Z</dcterms:created>
  <dc:creator>Administrator</dc:creator>
  <cp:lastModifiedBy>Administrator</cp:lastModifiedBy>
  <dcterms:modified xsi:type="dcterms:W3CDTF">2016-02-01T08:28:17Z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