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殷岱菊                               被考评人：郑丽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18279A4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74B7E22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2016-12-26T03:26:46Z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