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93A96"/>
          <w:sz w:val="33"/>
          <w:szCs w:val="33"/>
        </w:rPr>
      </w:pPr>
      <w:r>
        <w:rPr>
          <w:rFonts w:hint="eastAsia" w:ascii="宋体" w:hAnsi="宋体" w:eastAsia="宋体" w:cs="宋体"/>
          <w:b/>
          <w:color w:val="093A96"/>
          <w:sz w:val="33"/>
          <w:szCs w:val="33"/>
        </w:rPr>
        <w:t>对湖北诺得胜制药有限公司飞行检查情况</w:t>
      </w:r>
    </w:p>
    <w:p>
      <w:pPr>
        <w:jc w:val="right"/>
        <w:rPr>
          <w:rFonts w:hint="eastAsia" w:ascii="宋体" w:hAnsi="宋体" w:eastAsia="宋体" w:cs="宋体"/>
          <w:color w:val="919191"/>
          <w:sz w:val="21"/>
          <w:szCs w:val="21"/>
        </w:rPr>
      </w:pPr>
      <w:r>
        <w:rPr>
          <w:rFonts w:hint="eastAsia" w:ascii="宋体" w:hAnsi="宋体" w:eastAsia="宋体" w:cs="宋体"/>
          <w:color w:val="919191"/>
          <w:sz w:val="21"/>
          <w:szCs w:val="21"/>
        </w:rPr>
        <w:t>2016年12月08日 发布</w:t>
      </w:r>
    </w:p>
    <w:p>
      <w:pPr>
        <w:pStyle w:val="2"/>
        <w:keepNext w:val="0"/>
        <w:keepLines w:val="0"/>
        <w:widowControl/>
        <w:suppressLineNumbers w:val="0"/>
        <w:wordWrap/>
        <w:spacing w:line="480" w:lineRule="auto"/>
        <w:jc w:val="right"/>
        <w:rPr>
          <w:color w:val="000000"/>
          <w:sz w:val="21"/>
          <w:szCs w:val="21"/>
        </w:rPr>
      </w:pPr>
      <w:r>
        <w:rPr>
          <w:rFonts w:hint="eastAsia" w:ascii="宋体" w:hAnsi="宋体" w:eastAsia="宋体" w:cs="宋体"/>
          <w:color w:val="000000"/>
          <w:sz w:val="21"/>
          <w:szCs w:val="21"/>
        </w:rPr>
        <w:t>编号：CNFX20160011</w:t>
      </w:r>
    </w:p>
    <w:tbl>
      <w:tblPr>
        <w:tblStyle w:val="6"/>
        <w:tblpPr w:leftFromText="180" w:rightFromText="180" w:vertAnchor="text" w:horzAnchor="page" w:tblpX="1247" w:tblpY="1175"/>
        <w:tblOverlap w:val="never"/>
        <w:tblW w:w="10004"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90"/>
        <w:gridCol w:w="375"/>
        <w:gridCol w:w="3120"/>
        <w:gridCol w:w="2130"/>
        <w:gridCol w:w="2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5" w:hRule="atLeast"/>
          <w:tblCellSpacing w:w="0" w:type="dxa"/>
        </w:trPr>
        <w:tc>
          <w:tcPr>
            <w:tcW w:w="2265"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企业名称</w:t>
            </w:r>
          </w:p>
        </w:tc>
        <w:tc>
          <w:tcPr>
            <w:tcW w:w="312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湖北诺得胜制药有限公司</w:t>
            </w:r>
          </w:p>
        </w:tc>
        <w:tc>
          <w:tcPr>
            <w:tcW w:w="213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企业法定代表人</w:t>
            </w:r>
          </w:p>
        </w:tc>
        <w:tc>
          <w:tcPr>
            <w:tcW w:w="248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黄功强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trPr>
        <w:tc>
          <w:tcPr>
            <w:tcW w:w="2265"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药品生产许可证编号</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鄂20160113</w:t>
            </w:r>
          </w:p>
        </w:tc>
        <w:tc>
          <w:tcPr>
            <w:tcW w:w="21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社会信用代码</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（组织机构代码）</w:t>
            </w:r>
          </w:p>
        </w:tc>
        <w:tc>
          <w:tcPr>
            <w:tcW w:w="248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914290047352147395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2265"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企业负责人</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黄功强</w:t>
            </w:r>
          </w:p>
        </w:tc>
        <w:tc>
          <w:tcPr>
            <w:tcW w:w="21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质量负责人</w:t>
            </w:r>
          </w:p>
        </w:tc>
        <w:tc>
          <w:tcPr>
            <w:tcW w:w="248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李德全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2265"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生产负责人</w:t>
            </w:r>
          </w:p>
        </w:tc>
        <w:tc>
          <w:tcPr>
            <w:tcW w:w="312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朱家新</w:t>
            </w:r>
          </w:p>
        </w:tc>
        <w:tc>
          <w:tcPr>
            <w:tcW w:w="213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质量受权人</w:t>
            </w:r>
          </w:p>
        </w:tc>
        <w:tc>
          <w:tcPr>
            <w:tcW w:w="248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李德全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blCellSpacing w:w="0" w:type="dxa"/>
        </w:trPr>
        <w:tc>
          <w:tcPr>
            <w:tcW w:w="2265"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生产地址</w:t>
            </w:r>
          </w:p>
        </w:tc>
        <w:tc>
          <w:tcPr>
            <w:tcW w:w="7739"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湖北省仙桃市新城大道东段8号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blCellSpacing w:w="0" w:type="dxa"/>
        </w:trPr>
        <w:tc>
          <w:tcPr>
            <w:tcW w:w="2265"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检查日期</w:t>
            </w:r>
          </w:p>
        </w:tc>
        <w:tc>
          <w:tcPr>
            <w:tcW w:w="7739"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2016年11月4-5日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blCellSpacing w:w="0" w:type="dxa"/>
        </w:trPr>
        <w:tc>
          <w:tcPr>
            <w:tcW w:w="2265"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检查单位</w:t>
            </w:r>
          </w:p>
        </w:tc>
        <w:tc>
          <w:tcPr>
            <w:tcW w:w="7739"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国家食品药品监督管理总局核查中心</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湖北省食品药品监督管理局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2265"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事由</w:t>
            </w:r>
          </w:p>
        </w:tc>
        <w:tc>
          <w:tcPr>
            <w:tcW w:w="7739"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抽样检验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0" w:type="dxa"/>
        </w:trPr>
        <w:tc>
          <w:tcPr>
            <w:tcW w:w="10004" w:type="dxa"/>
            <w:gridSpan w:val="5"/>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检查发现问题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45" w:hRule="atLeast"/>
          <w:tblCellSpacing w:w="0" w:type="dxa"/>
        </w:trPr>
        <w:tc>
          <w:tcPr>
            <w:tcW w:w="10004" w:type="dxa"/>
            <w:gridSpan w:val="5"/>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rPr>
                <w:color w:val="000000"/>
                <w:sz w:val="21"/>
                <w:szCs w:val="21"/>
              </w:rPr>
            </w:pPr>
            <w:r>
              <w:rPr>
                <w:rFonts w:hint="eastAsia" w:ascii="宋体" w:hAnsi="宋体" w:eastAsia="宋体" w:cs="宋体"/>
                <w:color w:val="000000"/>
                <w:sz w:val="21"/>
                <w:szCs w:val="21"/>
              </w:rPr>
              <w:t>　　一、涉嫌篡改、编造检验原始记录。</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1、2015年、2016年生产的6批沉香化气丸（批号：150301、150501、150901、160101、160301、160901）进行橙皮苷的含量测定，在检验记录中发现存在修改进样时间现象。</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2、企业制定的沉香药材补充检验方法是采用理化鉴别和薄层色谱鉴别对松香酸进行检查并用HPLC法进行确证，其检验记录及检验报告均有理化鉴别的检验记录和检验结果，但企业实际上仅进行了薄层色谱鉴别，未进行理化鉴别。</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二、现场对留样样品沉香化气丸（批号：150301、150501、150901、160101、160901）、留样药材沉香（批号：150101、150301、160101）进行检验，批号150301、150501、150901、160101沉香化气丸均检出松香酸，涉嫌非法添加松香酸类物质。</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三、库房保管员删除成品库电脑中2015年、2016年成品出入库数据，现场无法提供成品入库出库纸质或电子数据。</w:t>
            </w:r>
          </w:p>
          <w:p>
            <w:pPr>
              <w:pStyle w:val="2"/>
              <w:keepNext w:val="0"/>
              <w:keepLines w:val="0"/>
              <w:widowControl/>
              <w:suppressLineNumbers w:val="0"/>
              <w:wordWrap/>
              <w:spacing w:line="480" w:lineRule="auto"/>
              <w:rPr>
                <w:color w:val="000000"/>
                <w:sz w:val="21"/>
                <w:szCs w:val="21"/>
              </w:rPr>
            </w:pPr>
            <w:r>
              <w:rPr>
                <w:rFonts w:hint="eastAsia" w:ascii="宋体" w:hAnsi="宋体" w:eastAsia="宋体" w:cs="宋体"/>
                <w:color w:val="000000"/>
                <w:sz w:val="21"/>
                <w:szCs w:val="21"/>
              </w:rPr>
              <w:t>　　1、该公司2016年3月开始使用KingBox计算机管理系统，现场无法打开，试图恢复未成功，事后企业负责人解释是因部分数据存在不一致的问题，库房保管员删除了仓库相关电子数据和KingBox计算机管理系统。</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2、经查成品库电脑，在电脑的回收站中发现文件名为“成品库”的文件夹，现场恢复该文件夹，文件夹中包含“2015年度成品库数据”、“2016年度成品库数据”、“成品库相关表格数据”等三个文件夹。经核对发现6批沉香化气丸（批号：150301、150501、150901、160101、160301、160901）入库数与批生产记录的成品产量数不一致，入库数均大于批生产记录的成品数，6批批生产记录的成品数分别为79600瓶、80000瓶、80800瓶、82000瓶、86800瓶、80000瓶，而成品库入库记录数量分别为83000瓶、98800瓶、94800瓶、83600瓶、87200瓶、89200瓶。</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四、原药材库“库存商品明细表”显示，2015年、2016年仅采购3批沉香药材，批次、数量、供货单位与财务的发票、药材仓库库存表或药材材料出入汇总表中批次、数量、供货单位不一致。</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五、未按照中国药典标准、内控标准要求，对陈皮、麦芽药材的黄曲霉毒素进行检验。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5" w:hRule="atLeast"/>
          <w:tblCellSpacing w:w="0" w:type="dxa"/>
        </w:trPr>
        <w:tc>
          <w:tcPr>
            <w:tcW w:w="10004" w:type="dxa"/>
            <w:gridSpan w:val="5"/>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blCellSpacing w:w="0" w:type="dxa"/>
        </w:trPr>
        <w:tc>
          <w:tcPr>
            <w:tcW w:w="10004" w:type="dxa"/>
            <w:gridSpan w:val="5"/>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rPr>
                <w:color w:val="000000"/>
                <w:sz w:val="21"/>
                <w:szCs w:val="21"/>
              </w:rPr>
            </w:pPr>
            <w:r>
              <w:rPr>
                <w:rFonts w:hint="eastAsia" w:ascii="宋体" w:hAnsi="宋体" w:eastAsia="宋体" w:cs="宋体"/>
                <w:color w:val="000000"/>
                <w:sz w:val="21"/>
                <w:szCs w:val="21"/>
              </w:rPr>
              <w:t>　　湖北诺得胜制药有限公司上述行为已违反《中华人民共和国药品管理法》及药品GMP相关规定，湖北省食品药品监管</w:t>
            </w:r>
            <w:r>
              <w:rPr>
                <w:rFonts w:hint="eastAsia" w:ascii="宋体" w:hAnsi="宋体" w:eastAsia="宋体" w:cs="宋体"/>
                <w:color w:val="0000FF"/>
                <w:sz w:val="21"/>
                <w:szCs w:val="21"/>
              </w:rPr>
              <w:t>局已收回该企业《药品GMP证书》</w:t>
            </w:r>
            <w:r>
              <w:rPr>
                <w:rFonts w:hint="eastAsia" w:ascii="宋体" w:hAnsi="宋体" w:eastAsia="宋体" w:cs="宋体"/>
                <w:color w:val="000000"/>
                <w:sz w:val="21"/>
                <w:szCs w:val="21"/>
              </w:rPr>
              <w:t>，</w:t>
            </w:r>
            <w:r>
              <w:rPr>
                <w:rFonts w:hint="eastAsia" w:ascii="宋体" w:hAnsi="宋体" w:eastAsia="宋体" w:cs="宋体"/>
                <w:color w:val="0000FF"/>
                <w:sz w:val="21"/>
                <w:szCs w:val="21"/>
              </w:rPr>
              <w:t>国家食品药品监管总局要求省局监督企业封存其库存沉香化气丸，责令企业召回已销售产品，对企业违法违规生产行为立案调查。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blCellSpacing w:w="0" w:type="dxa"/>
        </w:trPr>
        <w:tc>
          <w:tcPr>
            <w:tcW w:w="18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发布期</w:t>
            </w:r>
            <w:r>
              <w:rPr>
                <w:rFonts w:hint="eastAsia" w:ascii="宋体" w:hAnsi="宋体" w:eastAsia="宋体" w:cs="宋体"/>
                <w:color w:val="000000"/>
                <w:sz w:val="21"/>
                <w:szCs w:val="21"/>
              </w:rPr>
              <w:t>日</w:t>
            </w:r>
          </w:p>
        </w:tc>
        <w:tc>
          <w:tcPr>
            <w:tcW w:w="375" w:type="dxa"/>
            <w:shd w:val="clear" w:color="auto" w:fill="auto"/>
            <w:vAlign w:val="center"/>
          </w:tcPr>
          <w:p>
            <w:pPr>
              <w:rPr>
                <w:rFonts w:hint="eastAsia" w:ascii="Arial" w:hAnsi="Arial" w:cs="Arial"/>
                <w:sz w:val="24"/>
                <w:szCs w:val="24"/>
              </w:rPr>
            </w:pPr>
          </w:p>
        </w:tc>
        <w:tc>
          <w:tcPr>
            <w:tcW w:w="3120" w:type="dxa"/>
            <w:shd w:val="clear" w:color="auto" w:fill="auto"/>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rPr>
              <w:t>2016年12月7日</w:t>
            </w:r>
          </w:p>
          <w:p>
            <w:pPr>
              <w:rPr>
                <w:rFonts w:hint="default" w:ascii="Arial" w:hAnsi="Arial" w:cs="Arial"/>
                <w:sz w:val="24"/>
                <w:szCs w:val="24"/>
              </w:rPr>
            </w:pPr>
          </w:p>
        </w:tc>
        <w:tc>
          <w:tcPr>
            <w:tcW w:w="2130" w:type="dxa"/>
            <w:shd w:val="clear" w:color="auto" w:fill="auto"/>
            <w:vAlign w:val="center"/>
          </w:tcPr>
          <w:p>
            <w:pPr>
              <w:rPr>
                <w:rFonts w:hint="default" w:ascii="Arial" w:hAnsi="Arial" w:cs="Arial"/>
                <w:sz w:val="24"/>
                <w:szCs w:val="24"/>
              </w:rPr>
            </w:pPr>
          </w:p>
        </w:tc>
        <w:tc>
          <w:tcPr>
            <w:tcW w:w="2489" w:type="dxa"/>
            <w:shd w:val="clear" w:color="auto" w:fill="auto"/>
            <w:vAlign w:val="center"/>
          </w:tcPr>
          <w:p>
            <w:pPr>
              <w:rPr>
                <w:rFonts w:hint="default" w:ascii="Arial" w:hAnsi="Arial" w:cs="Arial"/>
                <w:sz w:val="24"/>
                <w:szCs w:val="24"/>
              </w:rPr>
            </w:pPr>
          </w:p>
        </w:tc>
      </w:tr>
    </w:tbl>
    <w:p>
      <w:pPr>
        <w:jc w:val="left"/>
        <w:rPr>
          <w:rFonts w:hint="eastAsia" w:ascii="宋体" w:hAnsi="宋体" w:eastAsia="宋体" w:cs="宋体"/>
          <w:color w:val="919191"/>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A65C0"/>
    <w:rsid w:val="0F772AC1"/>
    <w:rsid w:val="4C4A65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5D5D5D"/>
      <w:u w:val="none"/>
    </w:rPr>
  </w:style>
  <w:style w:type="character" w:styleId="5">
    <w:name w:val="Hyperlink"/>
    <w:basedOn w:val="3"/>
    <w:qFormat/>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2016-12-15T02:02:00Z</dcterms:created>
  <dc:creator>Administrator</dc:creator>
  <cp:lastModifiedBy>Administrator</cp:lastModifiedBy>
  <dcterms:modified xsi:type="dcterms:W3CDTF">2016-12-16T05:40:01Z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