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A7" w:rsidRDefault="00AE4AA7" w:rsidP="00AE4AA7">
      <w:pPr>
        <w:pStyle w:val="a5"/>
        <w:spacing w:before="0" w:beforeAutospacing="0" w:after="0" w:afterAutospacing="0"/>
        <w:rPr>
          <w:color w:val="000000"/>
          <w:sz w:val="18"/>
          <w:szCs w:val="18"/>
        </w:rPr>
      </w:pPr>
      <w:r>
        <w:rPr>
          <w:rFonts w:hint="eastAsia"/>
          <w:color w:val="000000"/>
          <w:sz w:val="18"/>
          <w:szCs w:val="18"/>
        </w:rPr>
        <w:t>格华止</w:t>
      </w:r>
      <w:r>
        <w:rPr>
          <w:rFonts w:ascii="Calibri" w:hAnsi="Calibri" w:cs="Calibri"/>
          <w:color w:val="000000"/>
          <w:sz w:val="18"/>
          <w:szCs w:val="18"/>
        </w:rPr>
        <w:t>0.5*20</w:t>
      </w:r>
      <w:r>
        <w:rPr>
          <w:rFonts w:hint="eastAsia"/>
          <w:color w:val="000000"/>
          <w:sz w:val="18"/>
          <w:szCs w:val="18"/>
        </w:rPr>
        <w:t>片、格华止</w:t>
      </w:r>
      <w:r>
        <w:rPr>
          <w:rFonts w:ascii="Calibri" w:hAnsi="Calibri" w:cs="Calibri"/>
          <w:color w:val="000000"/>
          <w:sz w:val="18"/>
          <w:szCs w:val="18"/>
        </w:rPr>
        <w:t>0.85*20</w:t>
      </w:r>
      <w:r>
        <w:rPr>
          <w:rFonts w:hint="eastAsia"/>
          <w:color w:val="000000"/>
          <w:sz w:val="18"/>
          <w:szCs w:val="18"/>
        </w:rPr>
        <w:t>片</w:t>
      </w:r>
    </w:p>
    <w:p w:rsidR="00AE4AA7" w:rsidRPr="00AE4AA7" w:rsidRDefault="00AE4AA7" w:rsidP="00AE4AA7">
      <w:pPr>
        <w:pStyle w:val="a5"/>
        <w:spacing w:before="0" w:beforeAutospacing="0" w:after="0" w:afterAutospacing="0"/>
        <w:rPr>
          <w:rFonts w:hint="eastAsia"/>
          <w:color w:val="000000"/>
          <w:sz w:val="18"/>
          <w:szCs w:val="18"/>
        </w:rPr>
      </w:pPr>
      <w:r>
        <w:rPr>
          <w:rFonts w:hint="eastAsia"/>
          <w:color w:val="000000"/>
          <w:sz w:val="18"/>
          <w:szCs w:val="18"/>
        </w:rPr>
        <w:t>替代品二甲双胍缓释片（倍顺）</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替代理由：相比格华止</w:t>
      </w:r>
      <w:r>
        <w:rPr>
          <w:rFonts w:ascii="Calibri" w:hAnsi="Calibri" w:cs="Calibri"/>
          <w:color w:val="000000"/>
          <w:sz w:val="18"/>
          <w:szCs w:val="18"/>
        </w:rPr>
        <w:t>0.5</w:t>
      </w:r>
      <w:r>
        <w:rPr>
          <w:rFonts w:hint="eastAsia"/>
          <w:color w:val="000000"/>
          <w:sz w:val="18"/>
          <w:szCs w:val="18"/>
        </w:rPr>
        <w:t>，倍顺服用次数减少为一次</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相比格华止</w:t>
      </w:r>
      <w:r>
        <w:rPr>
          <w:rFonts w:ascii="Calibri" w:hAnsi="Calibri" w:cs="Calibri"/>
          <w:color w:val="000000"/>
          <w:sz w:val="18"/>
          <w:szCs w:val="18"/>
        </w:rPr>
        <w:t>0.85</w:t>
      </w:r>
      <w:r>
        <w:rPr>
          <w:rFonts w:hint="eastAsia"/>
          <w:color w:val="000000"/>
          <w:sz w:val="18"/>
          <w:szCs w:val="18"/>
        </w:rPr>
        <w:t>，倍顺更经济</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联合用药：二甲双胍</w:t>
      </w:r>
      <w:r>
        <w:rPr>
          <w:rFonts w:ascii="Calibri" w:hAnsi="Calibri" w:cs="Calibri"/>
          <w:color w:val="000000"/>
          <w:sz w:val="18"/>
          <w:szCs w:val="18"/>
        </w:rPr>
        <w:t>+</w:t>
      </w:r>
      <w:r>
        <w:rPr>
          <w:rFonts w:hint="eastAsia"/>
          <w:color w:val="000000"/>
          <w:sz w:val="18"/>
          <w:szCs w:val="18"/>
        </w:rPr>
        <w:t>瑞格列奈</w:t>
      </w:r>
      <w:r>
        <w:rPr>
          <w:rFonts w:ascii="Calibri" w:hAnsi="Calibri" w:cs="Calibri"/>
          <w:color w:val="000000"/>
          <w:sz w:val="18"/>
          <w:szCs w:val="18"/>
        </w:rPr>
        <w:t xml:space="preserve"> </w:t>
      </w:r>
      <w:r>
        <w:rPr>
          <w:rFonts w:hint="eastAsia"/>
          <w:color w:val="000000"/>
          <w:sz w:val="18"/>
          <w:szCs w:val="18"/>
        </w:rPr>
        <w:t>二甲双胍</w:t>
      </w:r>
      <w:r>
        <w:rPr>
          <w:rFonts w:ascii="Calibri" w:hAnsi="Calibri" w:cs="Calibri"/>
          <w:color w:val="000000"/>
          <w:sz w:val="18"/>
          <w:szCs w:val="18"/>
        </w:rPr>
        <w:t>+</w:t>
      </w:r>
      <w:r>
        <w:rPr>
          <w:rFonts w:hint="eastAsia"/>
          <w:color w:val="000000"/>
          <w:sz w:val="18"/>
          <w:szCs w:val="18"/>
        </w:rPr>
        <w:t>格列齐特</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诺和龙</w:t>
      </w:r>
      <w:r>
        <w:rPr>
          <w:rFonts w:ascii="Calibri" w:hAnsi="Calibri" w:cs="Calibri"/>
          <w:color w:val="000000"/>
          <w:sz w:val="18"/>
          <w:szCs w:val="18"/>
        </w:rPr>
        <w:t>1.0*30</w:t>
      </w:r>
      <w:r>
        <w:rPr>
          <w:rFonts w:hint="eastAsia"/>
          <w:color w:val="000000"/>
          <w:sz w:val="18"/>
          <w:szCs w:val="18"/>
        </w:rPr>
        <w:t>片</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替代品国产瑞格列奈孚来迪</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替代理由：治疗效果相当，更经济</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替代品：那格列奈（唐力）</w:t>
      </w:r>
    </w:p>
    <w:p w:rsidR="00AE4AA7" w:rsidRDefault="00AE4AA7" w:rsidP="00AE4AA7">
      <w:pPr>
        <w:pStyle w:val="a5"/>
        <w:spacing w:before="240" w:beforeAutospacing="0" w:after="0" w:afterAutospacing="0"/>
        <w:rPr>
          <w:color w:val="000000"/>
          <w:sz w:val="18"/>
          <w:szCs w:val="18"/>
        </w:rPr>
      </w:pPr>
      <w:r>
        <w:rPr>
          <w:rFonts w:hint="eastAsia"/>
          <w:color w:val="000000"/>
          <w:sz w:val="18"/>
          <w:szCs w:val="18"/>
        </w:rPr>
        <w:t>联合用药</w:t>
      </w:r>
      <w:r>
        <w:rPr>
          <w:rFonts w:ascii="Calibri" w:hAnsi="Calibri" w:cs="Calibri"/>
          <w:color w:val="000000"/>
          <w:sz w:val="18"/>
          <w:szCs w:val="18"/>
        </w:rPr>
        <w:t>:</w:t>
      </w:r>
      <w:r>
        <w:rPr>
          <w:rFonts w:hint="eastAsia"/>
          <w:color w:val="000000"/>
          <w:sz w:val="18"/>
          <w:szCs w:val="18"/>
        </w:rPr>
        <w:t>瑞格列奈</w:t>
      </w:r>
      <w:r>
        <w:rPr>
          <w:rFonts w:ascii="Calibri" w:hAnsi="Calibri" w:cs="Calibri"/>
          <w:color w:val="000000"/>
          <w:sz w:val="18"/>
          <w:szCs w:val="18"/>
        </w:rPr>
        <w:t>+</w:t>
      </w:r>
      <w:r>
        <w:rPr>
          <w:rFonts w:hint="eastAsia"/>
          <w:color w:val="000000"/>
          <w:sz w:val="18"/>
          <w:szCs w:val="18"/>
        </w:rPr>
        <w:t>太罗</w:t>
      </w:r>
      <w:r>
        <w:rPr>
          <w:rFonts w:ascii="Calibri" w:hAnsi="Calibri" w:cs="Calibri"/>
          <w:color w:val="000000"/>
          <w:sz w:val="18"/>
          <w:szCs w:val="18"/>
        </w:rPr>
        <w:t xml:space="preserve"> </w:t>
      </w:r>
      <w:r>
        <w:rPr>
          <w:rFonts w:hint="eastAsia"/>
          <w:color w:val="000000"/>
          <w:sz w:val="18"/>
          <w:szCs w:val="18"/>
        </w:rPr>
        <w:t>瑞格列奈（那格列奈）</w:t>
      </w:r>
      <w:r>
        <w:rPr>
          <w:rFonts w:ascii="Calibri" w:hAnsi="Calibri" w:cs="Calibri"/>
          <w:color w:val="000000"/>
          <w:sz w:val="18"/>
          <w:szCs w:val="18"/>
        </w:rPr>
        <w:t>+</w:t>
      </w:r>
      <w:r>
        <w:rPr>
          <w:rFonts w:hint="eastAsia"/>
          <w:color w:val="000000"/>
          <w:sz w:val="18"/>
          <w:szCs w:val="18"/>
        </w:rPr>
        <w:t>二甲双胍</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福辛普利那（蒙诺）</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替代品：依那普利（依苏）</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替代理由：治疗效果相当，更经济</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替代品：缬沙坦</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替代理由</w:t>
      </w:r>
      <w:r>
        <w:rPr>
          <w:rFonts w:ascii="Calibri" w:hAnsi="Calibri" w:cs="Calibri"/>
          <w:color w:val="000000"/>
          <w:sz w:val="18"/>
          <w:szCs w:val="18"/>
        </w:rPr>
        <w:t>:</w:t>
      </w:r>
      <w:r>
        <w:rPr>
          <w:rFonts w:hint="eastAsia"/>
          <w:color w:val="000000"/>
          <w:sz w:val="18"/>
          <w:szCs w:val="18"/>
        </w:rPr>
        <w:t>不能耐受干咳的副作用则可选用</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立普妥</w:t>
      </w:r>
      <w:r>
        <w:rPr>
          <w:rFonts w:ascii="Calibri" w:hAnsi="Calibri" w:cs="Calibri"/>
          <w:color w:val="000000"/>
          <w:sz w:val="18"/>
          <w:szCs w:val="18"/>
        </w:rPr>
        <w:t>10mg</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替代品：氟伐他汀（来适可）</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替代理由：作用强度和立普妥相当同时可改善胰岛素抵抗，更适合糖尿病病人</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替代品：瑞舒伐他汀（南京）</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替代理由：作用强度相当，国产经济性更高</w:t>
      </w:r>
    </w:p>
    <w:p w:rsidR="00AE4AA7" w:rsidRDefault="00AE4AA7" w:rsidP="00AE4AA7">
      <w:pPr>
        <w:pStyle w:val="a5"/>
        <w:spacing w:before="0" w:beforeAutospacing="0" w:after="0" w:afterAutospacing="0"/>
        <w:rPr>
          <w:color w:val="000000"/>
          <w:sz w:val="18"/>
          <w:szCs w:val="18"/>
        </w:rPr>
      </w:pPr>
      <w:r>
        <w:rPr>
          <w:rFonts w:hint="eastAsia"/>
          <w:color w:val="000000"/>
          <w:sz w:val="18"/>
          <w:szCs w:val="18"/>
        </w:rPr>
        <w:t>以上需要找出替代品的均为国外知名厂家，替代难度大，既使国产毛利也不高，而且对于我们一线销售来说卖个价高的肯定比价低的好呀。所以我认为：我们的销售机会在于顾客需要替换的情况下知道哪种药物和之前使用的药物作用相当，可以和哪种药物合用产生协同作用，从而提高客单。再者加强对慢性病和药物更多的学习，能够给予顾客相对专业的指导，一方面提高我们在顾客心目中的形象，一方面创造更多的销售机会。</w:t>
      </w:r>
    </w:p>
    <w:p w:rsidR="00000000" w:rsidRDefault="00823A96">
      <w:pPr>
        <w:rPr>
          <w:rFonts w:hint="eastAsia"/>
        </w:rPr>
      </w:pPr>
    </w:p>
    <w:p w:rsidR="00AE4AA7" w:rsidRDefault="00AE4AA7">
      <w:pPr>
        <w:rPr>
          <w:rFonts w:hint="eastAsia"/>
        </w:rPr>
      </w:pPr>
    </w:p>
    <w:p w:rsidR="00AE4AA7" w:rsidRDefault="00AE4AA7">
      <w:pPr>
        <w:rPr>
          <w:rFonts w:hint="eastAsia"/>
        </w:rPr>
      </w:pPr>
    </w:p>
    <w:p w:rsidR="00AE4AA7" w:rsidRDefault="00AE4AA7" w:rsidP="00AE4AA7">
      <w:pPr>
        <w:jc w:val="right"/>
        <w:rPr>
          <w:rFonts w:hint="eastAsia"/>
        </w:rPr>
      </w:pPr>
      <w:r>
        <w:rPr>
          <w:rFonts w:hint="eastAsia"/>
        </w:rPr>
        <w:t>五津西路</w:t>
      </w:r>
      <w:r>
        <w:rPr>
          <w:rFonts w:hint="eastAsia"/>
        </w:rPr>
        <w:t>:</w:t>
      </w:r>
      <w:r>
        <w:rPr>
          <w:rFonts w:hint="eastAsia"/>
        </w:rPr>
        <w:t>祁荣</w:t>
      </w:r>
    </w:p>
    <w:p w:rsidR="00AE4AA7" w:rsidRPr="00AE4AA7" w:rsidRDefault="00AE4AA7" w:rsidP="00AE4AA7">
      <w:pPr>
        <w:jc w:val="right"/>
      </w:pPr>
      <w:r>
        <w:rPr>
          <w:rFonts w:hint="eastAsia"/>
        </w:rPr>
        <w:t>2015.10.7</w:t>
      </w:r>
    </w:p>
    <w:sectPr w:rsidR="00AE4AA7" w:rsidRPr="00AE4A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A96" w:rsidRDefault="00823A96" w:rsidP="00155832">
      <w:r>
        <w:separator/>
      </w:r>
    </w:p>
  </w:endnote>
  <w:endnote w:type="continuationSeparator" w:id="1">
    <w:p w:rsidR="00823A96" w:rsidRDefault="00823A96" w:rsidP="00155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A96" w:rsidRDefault="00823A96" w:rsidP="00155832">
      <w:r>
        <w:separator/>
      </w:r>
    </w:p>
  </w:footnote>
  <w:footnote w:type="continuationSeparator" w:id="1">
    <w:p w:rsidR="00823A96" w:rsidRDefault="00823A96" w:rsidP="00155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6271"/>
    <w:multiLevelType w:val="multilevel"/>
    <w:tmpl w:val="712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832"/>
    <w:rsid w:val="00155832"/>
    <w:rsid w:val="00823A96"/>
    <w:rsid w:val="00AE4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5832"/>
    <w:rPr>
      <w:sz w:val="18"/>
      <w:szCs w:val="18"/>
    </w:rPr>
  </w:style>
  <w:style w:type="paragraph" w:styleId="a4">
    <w:name w:val="footer"/>
    <w:basedOn w:val="a"/>
    <w:link w:val="Char0"/>
    <w:uiPriority w:val="99"/>
    <w:semiHidden/>
    <w:unhideWhenUsed/>
    <w:rsid w:val="001558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5832"/>
    <w:rPr>
      <w:sz w:val="18"/>
      <w:szCs w:val="18"/>
    </w:rPr>
  </w:style>
  <w:style w:type="paragraph" w:styleId="a5">
    <w:name w:val="Normal (Web)"/>
    <w:basedOn w:val="a"/>
    <w:uiPriority w:val="99"/>
    <w:semiHidden/>
    <w:unhideWhenUsed/>
    <w:rsid w:val="001558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393547">
      <w:bodyDiv w:val="1"/>
      <w:marLeft w:val="0"/>
      <w:marRight w:val="0"/>
      <w:marTop w:val="0"/>
      <w:marBottom w:val="0"/>
      <w:divBdr>
        <w:top w:val="none" w:sz="0" w:space="0" w:color="auto"/>
        <w:left w:val="none" w:sz="0" w:space="0" w:color="auto"/>
        <w:bottom w:val="none" w:sz="0" w:space="0" w:color="auto"/>
        <w:right w:val="none" w:sz="0" w:space="0" w:color="auto"/>
      </w:divBdr>
      <w:divsChild>
        <w:div w:id="742946421">
          <w:marLeft w:val="0"/>
          <w:marRight w:val="0"/>
          <w:marTop w:val="0"/>
          <w:marBottom w:val="0"/>
          <w:divBdr>
            <w:top w:val="none" w:sz="0" w:space="0" w:color="auto"/>
            <w:left w:val="none" w:sz="0" w:space="0" w:color="auto"/>
            <w:bottom w:val="none" w:sz="0" w:space="0" w:color="auto"/>
            <w:right w:val="none" w:sz="0" w:space="0" w:color="auto"/>
          </w:divBdr>
        </w:div>
      </w:divsChild>
    </w:div>
    <w:div w:id="1143232453">
      <w:bodyDiv w:val="1"/>
      <w:marLeft w:val="0"/>
      <w:marRight w:val="0"/>
      <w:marTop w:val="0"/>
      <w:marBottom w:val="0"/>
      <w:divBdr>
        <w:top w:val="none" w:sz="0" w:space="0" w:color="auto"/>
        <w:left w:val="none" w:sz="0" w:space="0" w:color="auto"/>
        <w:bottom w:val="none" w:sz="0" w:space="0" w:color="auto"/>
        <w:right w:val="none" w:sz="0" w:space="0" w:color="auto"/>
      </w:divBdr>
      <w:divsChild>
        <w:div w:id="575168103">
          <w:marLeft w:val="0"/>
          <w:marRight w:val="0"/>
          <w:marTop w:val="0"/>
          <w:marBottom w:val="0"/>
          <w:divBdr>
            <w:top w:val="none" w:sz="0" w:space="0" w:color="auto"/>
            <w:left w:val="none" w:sz="0" w:space="0" w:color="auto"/>
            <w:bottom w:val="none" w:sz="0" w:space="0" w:color="auto"/>
            <w:right w:val="none" w:sz="0" w:space="0" w:color="auto"/>
          </w:divBdr>
          <w:divsChild>
            <w:div w:id="110325899">
              <w:marLeft w:val="0"/>
              <w:marRight w:val="0"/>
              <w:marTop w:val="0"/>
              <w:marBottom w:val="0"/>
              <w:divBdr>
                <w:top w:val="none" w:sz="0" w:space="0" w:color="auto"/>
                <w:left w:val="none" w:sz="0" w:space="0" w:color="auto"/>
                <w:bottom w:val="none" w:sz="0" w:space="0" w:color="auto"/>
                <w:right w:val="none" w:sz="0" w:space="0" w:color="auto"/>
              </w:divBdr>
              <w:divsChild>
                <w:div w:id="1993098552">
                  <w:marLeft w:val="0"/>
                  <w:marRight w:val="0"/>
                  <w:marTop w:val="0"/>
                  <w:marBottom w:val="0"/>
                  <w:divBdr>
                    <w:top w:val="none" w:sz="0" w:space="0" w:color="auto"/>
                    <w:left w:val="none" w:sz="0" w:space="0" w:color="auto"/>
                    <w:bottom w:val="none" w:sz="0" w:space="0" w:color="auto"/>
                    <w:right w:val="none" w:sz="0" w:space="0" w:color="auto"/>
                  </w:divBdr>
                  <w:divsChild>
                    <w:div w:id="1767193117">
                      <w:marLeft w:val="0"/>
                      <w:marRight w:val="0"/>
                      <w:marTop w:val="0"/>
                      <w:marBottom w:val="0"/>
                      <w:divBdr>
                        <w:top w:val="none" w:sz="0" w:space="0" w:color="auto"/>
                        <w:left w:val="none" w:sz="0" w:space="0" w:color="auto"/>
                        <w:bottom w:val="none" w:sz="0" w:space="0" w:color="auto"/>
                        <w:right w:val="none" w:sz="0" w:space="0" w:color="auto"/>
                      </w:divBdr>
                      <w:divsChild>
                        <w:div w:id="166754268">
                          <w:marLeft w:val="0"/>
                          <w:marRight w:val="0"/>
                          <w:marTop w:val="0"/>
                          <w:marBottom w:val="0"/>
                          <w:divBdr>
                            <w:top w:val="none" w:sz="0" w:space="0" w:color="auto"/>
                            <w:left w:val="none" w:sz="0" w:space="0" w:color="auto"/>
                            <w:bottom w:val="none" w:sz="0" w:space="0" w:color="auto"/>
                            <w:right w:val="none" w:sz="0" w:space="0" w:color="auto"/>
                          </w:divBdr>
                          <w:divsChild>
                            <w:div w:id="1621841059">
                              <w:marLeft w:val="0"/>
                              <w:marRight w:val="0"/>
                              <w:marTop w:val="0"/>
                              <w:marBottom w:val="0"/>
                              <w:divBdr>
                                <w:top w:val="none" w:sz="0" w:space="0" w:color="auto"/>
                                <w:left w:val="none" w:sz="0" w:space="0" w:color="auto"/>
                                <w:bottom w:val="none" w:sz="0" w:space="0" w:color="auto"/>
                                <w:right w:val="none" w:sz="0" w:space="0" w:color="auto"/>
                              </w:divBdr>
                              <w:divsChild>
                                <w:div w:id="707994309">
                                  <w:marLeft w:val="0"/>
                                  <w:marRight w:val="0"/>
                                  <w:marTop w:val="0"/>
                                  <w:marBottom w:val="0"/>
                                  <w:divBdr>
                                    <w:top w:val="none" w:sz="0" w:space="0" w:color="auto"/>
                                    <w:left w:val="none" w:sz="0" w:space="0" w:color="auto"/>
                                    <w:bottom w:val="none" w:sz="0" w:space="0" w:color="auto"/>
                                    <w:right w:val="none" w:sz="0" w:space="0" w:color="auto"/>
                                  </w:divBdr>
                                  <w:divsChild>
                                    <w:div w:id="1518234416">
                                      <w:marLeft w:val="0"/>
                                      <w:marRight w:val="0"/>
                                      <w:marTop w:val="0"/>
                                      <w:marBottom w:val="0"/>
                                      <w:divBdr>
                                        <w:top w:val="none" w:sz="0" w:space="0" w:color="auto"/>
                                        <w:left w:val="none" w:sz="0" w:space="0" w:color="auto"/>
                                        <w:bottom w:val="none" w:sz="0" w:space="0" w:color="auto"/>
                                        <w:right w:val="none" w:sz="0" w:space="0" w:color="auto"/>
                                      </w:divBdr>
                                      <w:divsChild>
                                        <w:div w:id="941650327">
                                          <w:marLeft w:val="0"/>
                                          <w:marRight w:val="0"/>
                                          <w:marTop w:val="0"/>
                                          <w:marBottom w:val="0"/>
                                          <w:divBdr>
                                            <w:top w:val="none" w:sz="0" w:space="0" w:color="auto"/>
                                            <w:left w:val="none" w:sz="0" w:space="0" w:color="auto"/>
                                            <w:bottom w:val="none" w:sz="0" w:space="0" w:color="auto"/>
                                            <w:right w:val="none" w:sz="0" w:space="0" w:color="auto"/>
                                          </w:divBdr>
                                          <w:divsChild>
                                            <w:div w:id="401023156">
                                              <w:marLeft w:val="0"/>
                                              <w:marRight w:val="0"/>
                                              <w:marTop w:val="0"/>
                                              <w:marBottom w:val="0"/>
                                              <w:divBdr>
                                                <w:top w:val="none" w:sz="0" w:space="0" w:color="auto"/>
                                                <w:left w:val="none" w:sz="0" w:space="0" w:color="auto"/>
                                                <w:bottom w:val="none" w:sz="0" w:space="0" w:color="auto"/>
                                                <w:right w:val="none" w:sz="0" w:space="0" w:color="auto"/>
                                              </w:divBdr>
                                              <w:divsChild>
                                                <w:div w:id="2057583260">
                                                  <w:marLeft w:val="0"/>
                                                  <w:marRight w:val="0"/>
                                                  <w:marTop w:val="0"/>
                                                  <w:marBottom w:val="0"/>
                                                  <w:divBdr>
                                                    <w:top w:val="none" w:sz="0" w:space="0" w:color="auto"/>
                                                    <w:left w:val="none" w:sz="0" w:space="0" w:color="auto"/>
                                                    <w:bottom w:val="none" w:sz="0" w:space="0" w:color="auto"/>
                                                    <w:right w:val="none" w:sz="0" w:space="0" w:color="auto"/>
                                                  </w:divBdr>
                                                  <w:divsChild>
                                                    <w:div w:id="440533916">
                                                      <w:marLeft w:val="0"/>
                                                      <w:marRight w:val="0"/>
                                                      <w:marTop w:val="0"/>
                                                      <w:marBottom w:val="0"/>
                                                      <w:divBdr>
                                                        <w:top w:val="none" w:sz="0" w:space="0" w:color="auto"/>
                                                        <w:left w:val="none" w:sz="0" w:space="0" w:color="auto"/>
                                                        <w:bottom w:val="none" w:sz="0" w:space="0" w:color="auto"/>
                                                        <w:right w:val="none" w:sz="0" w:space="0" w:color="auto"/>
                                                      </w:divBdr>
                                                      <w:divsChild>
                                                        <w:div w:id="2025473570">
                                                          <w:marLeft w:val="0"/>
                                                          <w:marRight w:val="0"/>
                                                          <w:marTop w:val="0"/>
                                                          <w:marBottom w:val="0"/>
                                                          <w:divBdr>
                                                            <w:top w:val="none" w:sz="0" w:space="0" w:color="auto"/>
                                                            <w:left w:val="none" w:sz="0" w:space="0" w:color="auto"/>
                                                            <w:bottom w:val="none" w:sz="0" w:space="0" w:color="auto"/>
                                                            <w:right w:val="none" w:sz="0" w:space="0" w:color="auto"/>
                                                          </w:divBdr>
                                                          <w:divsChild>
                                                            <w:div w:id="699740677">
                                                              <w:marLeft w:val="0"/>
                                                              <w:marRight w:val="0"/>
                                                              <w:marTop w:val="0"/>
                                                              <w:marBottom w:val="0"/>
                                                              <w:divBdr>
                                                                <w:top w:val="none" w:sz="0" w:space="0" w:color="auto"/>
                                                                <w:left w:val="none" w:sz="0" w:space="0" w:color="auto"/>
                                                                <w:bottom w:val="none" w:sz="0" w:space="0" w:color="auto"/>
                                                                <w:right w:val="none" w:sz="0" w:space="0" w:color="auto"/>
                                                              </w:divBdr>
                                                              <w:divsChild>
                                                                <w:div w:id="1711567497">
                                                                  <w:marLeft w:val="0"/>
                                                                  <w:marRight w:val="0"/>
                                                                  <w:marTop w:val="0"/>
                                                                  <w:marBottom w:val="0"/>
                                                                  <w:divBdr>
                                                                    <w:top w:val="none" w:sz="0" w:space="0" w:color="auto"/>
                                                                    <w:left w:val="none" w:sz="0" w:space="0" w:color="auto"/>
                                                                    <w:bottom w:val="none" w:sz="0" w:space="0" w:color="auto"/>
                                                                    <w:right w:val="none" w:sz="0" w:space="0" w:color="auto"/>
                                                                  </w:divBdr>
                                                                  <w:divsChild>
                                                                    <w:div w:id="2828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0984593">
      <w:bodyDiv w:val="1"/>
      <w:marLeft w:val="0"/>
      <w:marRight w:val="0"/>
      <w:marTop w:val="0"/>
      <w:marBottom w:val="0"/>
      <w:divBdr>
        <w:top w:val="none" w:sz="0" w:space="0" w:color="auto"/>
        <w:left w:val="none" w:sz="0" w:space="0" w:color="auto"/>
        <w:bottom w:val="none" w:sz="0" w:space="0" w:color="auto"/>
        <w:right w:val="none" w:sz="0" w:space="0" w:color="auto"/>
      </w:divBdr>
      <w:divsChild>
        <w:div w:id="37508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82</Words>
  <Characters>474</Characters>
  <Application>Microsoft Office Word</Application>
  <DocSecurity>0</DocSecurity>
  <Lines>3</Lines>
  <Paragraphs>1</Paragraphs>
  <ScaleCrop>false</ScaleCrop>
  <Company>Microsoft</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2015-10-07T02:23:00Z</dcterms:created>
  <dcterms:modified xsi:type="dcterms:W3CDTF">2015-10-07T02:23:00Z</dcterms:modified>
</cp:coreProperties>
</file>